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3DBB" w14:textId="77777777" w:rsidR="002C1552" w:rsidRDefault="002C1552" w:rsidP="002C1552">
      <w:r>
        <w:t xml:space="preserve">      TRUNG TÂM Y TẾ</w:t>
      </w:r>
      <w:bookmarkStart w:id="0" w:name="_GoBack"/>
      <w:bookmarkEnd w:id="0"/>
      <w:r>
        <w:t xml:space="preserve"> </w:t>
      </w:r>
      <w:r>
        <w:tab/>
      </w:r>
      <w:r>
        <w:tab/>
      </w:r>
      <w:r w:rsidRPr="00BC74EF">
        <w:rPr>
          <w:b/>
        </w:rPr>
        <w:t>CỘNG HÒA XÃ HỘI CHỦ NGHĨA VIỆT NAM</w:t>
      </w:r>
    </w:p>
    <w:p w14:paraId="49D5130A" w14:textId="77777777" w:rsidR="002C1552" w:rsidRDefault="002C1552" w:rsidP="002C1552">
      <w:r>
        <w:t xml:space="preserve">       H.CHÂU THÀNH</w:t>
      </w:r>
      <w:r>
        <w:tab/>
      </w:r>
      <w:r>
        <w:tab/>
      </w:r>
      <w:r>
        <w:tab/>
        <w:t xml:space="preserve">     Độc lập – Tự do – Hạnh phúc</w:t>
      </w:r>
    </w:p>
    <w:p w14:paraId="0E4833E3" w14:textId="77777777" w:rsidR="002C1552" w:rsidRPr="00BC74EF" w:rsidRDefault="002C1552" w:rsidP="002C1552">
      <w:pPr>
        <w:rPr>
          <w:b/>
        </w:rPr>
      </w:pPr>
      <w:r>
        <w:rPr>
          <w:b/>
          <w:noProof/>
        </w:rPr>
        <mc:AlternateContent>
          <mc:Choice Requires="wps">
            <w:drawing>
              <wp:anchor distT="0" distB="0" distL="114300" distR="114300" simplePos="0" relativeHeight="251660288" behindDoc="0" locked="0" layoutInCell="1" allowOverlap="1" wp14:anchorId="33B8E457" wp14:editId="571CBB1D">
                <wp:simplePos x="0" y="0"/>
                <wp:positionH relativeFrom="column">
                  <wp:posOffset>2971800</wp:posOffset>
                </wp:positionH>
                <wp:positionV relativeFrom="paragraph">
                  <wp:posOffset>29845</wp:posOffset>
                </wp:positionV>
                <wp:extent cx="1912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5D8A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2.35pt" to="38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iswEAALcDAAAOAAAAZHJzL2Uyb0RvYy54bWysU8GOEzEMvSPxD1HudNo5rGDU6R66gguC&#10;ioUPyGacTkQSR07oTP8eJ21nESCEEBdPnLxn+9me7f3snTgBJYuhl5vVWgoIGgcbjr388vntq9dS&#10;pKzCoBwG6OUZkrzfvXyxnWIHLY7oBiDBQULqptjLMefYNU3SI3iVVhgh8KNB8iqzS8dmIDVxdO+a&#10;dr2+ayakIRJqSIlvHy6PclfjGwM6fzQmQRaul1xbrpaqfSq22W1VdyQVR6uvZah/qMIrGzjpEupB&#10;ZSW+kf0llLeaMKHJK42+QWOshqqB1WzWP6l5HFWEqoWbk+LSpvT/wuoPpwMJO/SylSIozyN6zKTs&#10;ccxijyFwA5FEW/o0xdQxfB8OdPVSPFARPRvy5ctyxFx7e156C3MWmi83bzbtXcsj0Le35pkYKeV3&#10;gF6UQy+dDUW26tTpfcqcjKE3CDulkEvqespnBwXswicwLKUkq+y6RLB3JE6Kxz983RQZHKsiC8VY&#10;5xbS+s+kK7bQoC7W3xIXdM2IIS9EbwPS77Lm+VaqueBvqi9ai+wnHM51ELUdvB1V2XWTy/r96Ff6&#10;8/+2+w4AAP//AwBQSwMEFAAGAAgAAAAhAA19aUTcAAAABwEAAA8AAABkcnMvZG93bnJldi54bWxM&#10;j0FPg0AQhe8m/Q+bMfFmF5sGEFmaRutJD4gePG7ZEUjZWcJuAf31jl709l7e5L1v8t1iezHh6DtH&#10;Cm7WEQik2pmOGgVvr4/XKQgfNBndO0IFn+hhV6wucp0ZN9MLTlVoBJeQz7SCNoQhk9LXLVrt125A&#10;4uzDjVYHtmMjzahnLre93ERRLK3uiBdaPeB9i/WpOlsFyeGpKof54fmrlIksy8mF9PSu1NXlsr8D&#10;EXAJf8fwg8/oUDDT0Z3JeNEr2MYp/xJYJCA4T+LbDYjjr5dFLv/zF98AAAD//wMAUEsBAi0AFAAG&#10;AAgAAAAhALaDOJL+AAAA4QEAABMAAAAAAAAAAAAAAAAAAAAAAFtDb250ZW50X1R5cGVzXS54bWxQ&#10;SwECLQAUAAYACAAAACEAOP0h/9YAAACUAQAACwAAAAAAAAAAAAAAAAAvAQAAX3JlbHMvLnJlbHNQ&#10;SwECLQAUAAYACAAAACEAeD1H4rMBAAC3AwAADgAAAAAAAAAAAAAAAAAuAgAAZHJzL2Uyb0RvYy54&#10;bWxQSwECLQAUAAYACAAAACEADX1pRNwAAAAHAQAADwAAAAAAAAAAAAAAAAANBAAAZHJzL2Rvd25y&#10;ZXYueG1sUEsFBgAAAAAEAAQA8wAAABYFAAAAAA==&#10;" strokecolor="black [3040]"/>
            </w:pict>
          </mc:Fallback>
        </mc:AlternateContent>
      </w:r>
      <w:r w:rsidRPr="00BC74EF">
        <w:rPr>
          <w:b/>
        </w:rPr>
        <w:t>KHOA DƯỢC-TTB-VTYT</w:t>
      </w:r>
    </w:p>
    <w:p w14:paraId="02FB495C" w14:textId="77777777" w:rsidR="002C1552" w:rsidRDefault="002C1552" w:rsidP="002C1552">
      <w:r>
        <w:rPr>
          <w:noProof/>
        </w:rPr>
        <mc:AlternateContent>
          <mc:Choice Requires="wps">
            <w:drawing>
              <wp:anchor distT="0" distB="0" distL="114300" distR="114300" simplePos="0" relativeHeight="251659264" behindDoc="0" locked="0" layoutInCell="1" allowOverlap="1" wp14:anchorId="04433BC1" wp14:editId="22580407">
                <wp:simplePos x="0" y="0"/>
                <wp:positionH relativeFrom="column">
                  <wp:posOffset>640080</wp:posOffset>
                </wp:positionH>
                <wp:positionV relativeFrom="paragraph">
                  <wp:posOffset>70485</wp:posOffset>
                </wp:positionV>
                <wp:extent cx="579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20C4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5.55pt" to="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DtAEAALYDAAAOAAAAZHJzL2Uyb0RvYy54bWysU9uO0zAQfUfiHyy/07SVuEVN96EreEFQ&#10;sewHeJ1xY2F7rLFp0r9n7LZZBAih1b44vpwzM+fMZHMzeSeOQMli6ORqsZQCgsbehkMn7799ePVO&#10;ipRV6JXDAJ08QZI325cvNmNsYY0Duh5IcJCQ2jF2csg5tk2T9ABepQVGCPxokLzKfKRD05MaObp3&#10;zXq5fNOMSH0k1JAS396eH+W2xjcGdP5iTIIsXCe5tlxXqutDWZvtRrUHUnGw+lKGekIVXtnASedQ&#10;tyor8YPsH6G81YQJTV5o9A0aYzVUDaxmtfxNzd2gIlQtbE6Ks03p+cLqz8c9Cdtz76QIynOL7jIp&#10;exiy2GEIbCCSWBWfxphahu/Cni6nFPdURE+GfPmyHDFVb0+ztzBlofny9dv3qzV3QF+fmkdepJQ/&#10;AnpRNp10NhTVqlXHTylzLoZeIXwodZwz110+OShgF76CYSWca1XZdYZg50gcFXe//15VcKyKLBRj&#10;nZtJy3+TLthCgzpX/0uc0TUjhjwTvQ1If8uap2up5oy/qj5rLbIfsD/VPlQ7eDiqS5dBLtP367nS&#10;H3+37U8AAAD//wMAUEsDBBQABgAIAAAAIQCyQGB53AAAAAkBAAAPAAAAZHJzL2Rvd25yZXYueG1s&#10;TI8/T8MwEMV3pH4H6yp1o3Y6tCXEqRB/JhhCYGB04yOJGp+j2E0Cn56rGGC7d/f07veyw+w6MeIQ&#10;Wk8akrUCgVR521Kt4f3t6XoPIkRD1nSeUMMXBjjki6vMpNZP9IpjGWvBIRRSo6GJsU+lDFWDzoS1&#10;75H49ukHZyLLoZZ2MBOHu05ulNpKZ1riD43p8b7B6lSenYbd43NZ9NPDy3chd7IoRh/3pw+tV8v5&#10;7hZExDn+meGCz+iQM9PRn8kG0bFWitEjD0kC4mK42XC54+9C5pn83yD/AQAA//8DAFBLAQItABQA&#10;BgAIAAAAIQC2gziS/gAAAOEBAAATAAAAAAAAAAAAAAAAAAAAAABbQ29udGVudF9UeXBlc10ueG1s&#10;UEsBAi0AFAAGAAgAAAAhADj9If/WAAAAlAEAAAsAAAAAAAAAAAAAAAAALwEAAF9yZWxzLy5yZWxz&#10;UEsBAi0AFAAGAAgAAAAhAIJps8O0AQAAtgMAAA4AAAAAAAAAAAAAAAAALgIAAGRycy9lMm9Eb2Mu&#10;eG1sUEsBAi0AFAAGAAgAAAAhALJAYHncAAAACQEAAA8AAAAAAAAAAAAAAAAADgQAAGRycy9kb3du&#10;cmV2LnhtbFBLBQYAAAAABAAEAPMAAAAXBQAAAAA=&#10;" strokecolor="black [3040]"/>
            </w:pict>
          </mc:Fallback>
        </mc:AlternateContent>
      </w:r>
    </w:p>
    <w:p w14:paraId="7D3A033E" w14:textId="50185D24" w:rsidR="002C1552" w:rsidRDefault="00477F3C" w:rsidP="002C1552">
      <w:r>
        <w:t xml:space="preserve">      Số: 0</w:t>
      </w:r>
      <w:r w:rsidR="00F14EE7">
        <w:t>3</w:t>
      </w:r>
      <w:r w:rsidR="0045405C">
        <w:t>/20</w:t>
      </w:r>
      <w:r w:rsidR="007564E8">
        <w:t>2</w:t>
      </w:r>
      <w:r w:rsidR="005D1EE5">
        <w:t>4</w:t>
      </w:r>
      <w:r w:rsidR="002C1552">
        <w:t>/TTT-TTYT</w:t>
      </w:r>
      <w:r w:rsidR="002C1552">
        <w:tab/>
      </w:r>
      <w:r w:rsidR="002C1552">
        <w:tab/>
      </w:r>
      <w:r w:rsidR="00C3040E">
        <w:rPr>
          <w:i/>
        </w:rPr>
        <w:t xml:space="preserve">Châu Thành, ngày </w:t>
      </w:r>
      <w:r w:rsidR="00F14EE7">
        <w:rPr>
          <w:i/>
        </w:rPr>
        <w:t>17</w:t>
      </w:r>
      <w:r w:rsidR="002C1552" w:rsidRPr="00BC74EF">
        <w:rPr>
          <w:i/>
        </w:rPr>
        <w:t xml:space="preserve"> tháng </w:t>
      </w:r>
      <w:r w:rsidR="005D1EE5">
        <w:rPr>
          <w:i/>
        </w:rPr>
        <w:t>0</w:t>
      </w:r>
      <w:r w:rsidR="00F14EE7">
        <w:rPr>
          <w:i/>
        </w:rPr>
        <w:t>4</w:t>
      </w:r>
      <w:r w:rsidR="002C1552" w:rsidRPr="00BC74EF">
        <w:rPr>
          <w:i/>
        </w:rPr>
        <w:t xml:space="preserve"> năm 20</w:t>
      </w:r>
      <w:r w:rsidR="007564E8">
        <w:rPr>
          <w:i/>
        </w:rPr>
        <w:t>2</w:t>
      </w:r>
      <w:r w:rsidR="005D1EE5">
        <w:rPr>
          <w:i/>
        </w:rPr>
        <w:t>4</w:t>
      </w:r>
    </w:p>
    <w:p w14:paraId="359B63E7" w14:textId="77777777" w:rsidR="002C1552" w:rsidRDefault="002C1552" w:rsidP="002C1552"/>
    <w:p w14:paraId="25546192" w14:textId="77777777" w:rsidR="002C1552" w:rsidRPr="00AC3E98" w:rsidRDefault="002C1552" w:rsidP="00AC3E98">
      <w:pPr>
        <w:spacing w:before="120"/>
        <w:jc w:val="center"/>
        <w:rPr>
          <w:b/>
          <w:sz w:val="32"/>
          <w:szCs w:val="32"/>
        </w:rPr>
      </w:pPr>
      <w:r w:rsidRPr="00AC3E98">
        <w:rPr>
          <w:b/>
          <w:sz w:val="32"/>
          <w:szCs w:val="32"/>
        </w:rPr>
        <w:t>CẬP NHẬT THÔNG TIN THUỐC</w:t>
      </w:r>
    </w:p>
    <w:p w14:paraId="669FC9D7" w14:textId="77777777" w:rsidR="00AC3E98" w:rsidRDefault="002C1552" w:rsidP="00AC3E98">
      <w:pPr>
        <w:jc w:val="center"/>
        <w:rPr>
          <w:b/>
          <w:i/>
          <w:sz w:val="28"/>
          <w:szCs w:val="28"/>
        </w:rPr>
      </w:pPr>
      <w:r w:rsidRPr="00B9323A">
        <w:rPr>
          <w:b/>
          <w:i/>
          <w:sz w:val="28"/>
          <w:szCs w:val="28"/>
        </w:rPr>
        <w:t xml:space="preserve">Về việc </w:t>
      </w:r>
      <w:r w:rsidR="00F14EE7">
        <w:rPr>
          <w:b/>
          <w:i/>
          <w:sz w:val="28"/>
          <w:szCs w:val="28"/>
        </w:rPr>
        <w:t>c</w:t>
      </w:r>
      <w:r w:rsidR="00F14EE7" w:rsidRPr="00F14EE7">
        <w:rPr>
          <w:b/>
          <w:i/>
          <w:sz w:val="28"/>
          <w:szCs w:val="28"/>
        </w:rPr>
        <w:t>ảnh báo phù mạch do thuốc</w:t>
      </w:r>
      <w:r w:rsidR="00AC3E98">
        <w:rPr>
          <w:b/>
          <w:i/>
          <w:sz w:val="28"/>
          <w:szCs w:val="28"/>
        </w:rPr>
        <w:t xml:space="preserve"> </w:t>
      </w:r>
      <w:r w:rsidR="00F14EE7" w:rsidRPr="00F14EE7">
        <w:rPr>
          <w:b/>
          <w:i/>
          <w:sz w:val="28"/>
          <w:szCs w:val="28"/>
        </w:rPr>
        <w:t xml:space="preserve">ức chế men chuyển </w:t>
      </w:r>
    </w:p>
    <w:p w14:paraId="16DFCBE6" w14:textId="1B0F2D5A" w:rsidR="00B9323A" w:rsidRPr="00B9323A" w:rsidRDefault="00F14EE7" w:rsidP="00AC3E98">
      <w:pPr>
        <w:jc w:val="center"/>
        <w:rPr>
          <w:b/>
          <w:i/>
          <w:sz w:val="28"/>
          <w:szCs w:val="28"/>
        </w:rPr>
      </w:pPr>
      <w:r w:rsidRPr="00F14EE7">
        <w:rPr>
          <w:b/>
          <w:i/>
          <w:sz w:val="28"/>
          <w:szCs w:val="28"/>
        </w:rPr>
        <w:t>(ACEI) có thể gây tử vong</w:t>
      </w:r>
    </w:p>
    <w:p w14:paraId="24C9D1B4" w14:textId="229DE2D7" w:rsidR="002C1552" w:rsidRPr="00326C85" w:rsidRDefault="002C1552" w:rsidP="00B9323A">
      <w:pPr>
        <w:spacing w:before="120"/>
        <w:ind w:firstLine="720"/>
      </w:pPr>
      <w:r w:rsidRPr="00326C85">
        <w:t>Kính gửi:</w:t>
      </w:r>
      <w:r w:rsidRPr="00326C85">
        <w:tab/>
        <w:t>- Hội đồng Thuốc và Điều trị</w:t>
      </w:r>
    </w:p>
    <w:p w14:paraId="6D7EB823" w14:textId="77777777" w:rsidR="002C1552" w:rsidRPr="00326C85" w:rsidRDefault="002C1552" w:rsidP="00B9323A">
      <w:pPr>
        <w:spacing w:before="120"/>
        <w:ind w:left="1440" w:firstLine="720"/>
      </w:pPr>
      <w:r w:rsidRPr="00326C85">
        <w:t>- Bác sĩ, các khoa lâm sàng</w:t>
      </w:r>
    </w:p>
    <w:p w14:paraId="316AF713" w14:textId="77777777" w:rsidR="002C1552" w:rsidRPr="00326C85" w:rsidRDefault="002C1552" w:rsidP="00B9323A">
      <w:pPr>
        <w:spacing w:before="120" w:after="120"/>
        <w:ind w:left="1440" w:firstLine="720"/>
      </w:pPr>
      <w:r w:rsidRPr="00326C85">
        <w:t>- Phòng khám ĐKKV, các Trạm Y tế tuyến xã</w:t>
      </w:r>
    </w:p>
    <w:p w14:paraId="2A451996" w14:textId="77777777" w:rsidR="00F14EE7" w:rsidRDefault="0045405C" w:rsidP="00F14EE7">
      <w:pPr>
        <w:spacing w:before="120"/>
        <w:jc w:val="both"/>
      </w:pPr>
      <w:r w:rsidRPr="00326C85">
        <w:tab/>
        <w:t xml:space="preserve">Hiện tại TT Y Tế </w:t>
      </w:r>
      <w:r w:rsidR="00477F3C" w:rsidRPr="00326C85">
        <w:t xml:space="preserve">Châu Thành </w:t>
      </w:r>
      <w:r w:rsidRPr="00326C85">
        <w:t>có sử dụng</w:t>
      </w:r>
      <w:r w:rsidR="005D1EE5" w:rsidRPr="00326C85">
        <w:t xml:space="preserve"> </w:t>
      </w:r>
      <w:r w:rsidR="00EB1723" w:rsidRPr="00326C85">
        <w:t>thuốc</w:t>
      </w:r>
      <w:r w:rsidRPr="00326C85">
        <w:t xml:space="preserve"> </w:t>
      </w:r>
      <w:r w:rsidR="00F14EE7" w:rsidRPr="00F14EE7">
        <w:t>ức chế men chuyển (ACEI</w:t>
      </w:r>
      <w:proofErr w:type="gramStart"/>
      <w:r w:rsidR="00F14EE7" w:rsidRPr="00F14EE7">
        <w:t>)</w:t>
      </w:r>
      <w:r w:rsidR="00F14EE7" w:rsidRPr="00F14EE7">
        <w:rPr>
          <w:b/>
          <w:i/>
          <w:sz w:val="28"/>
          <w:szCs w:val="28"/>
        </w:rPr>
        <w:t xml:space="preserve"> </w:t>
      </w:r>
      <w:r w:rsidR="00001DD0" w:rsidRPr="00326C85">
        <w:t xml:space="preserve"> </w:t>
      </w:r>
      <w:r w:rsidR="00C3040E" w:rsidRPr="00326C85">
        <w:t>để</w:t>
      </w:r>
      <w:proofErr w:type="gramEnd"/>
      <w:r w:rsidR="00C3040E" w:rsidRPr="00326C85">
        <w:t xml:space="preserve"> </w:t>
      </w:r>
      <w:r w:rsidR="00944BD1" w:rsidRPr="00326C85">
        <w:t xml:space="preserve"> </w:t>
      </w:r>
      <w:r w:rsidR="00F14EE7">
        <w:t>đ</w:t>
      </w:r>
      <w:r w:rsidR="00F14EE7" w:rsidRPr="00F14EE7">
        <w:t xml:space="preserve">iều trị huyết áp cao: </w:t>
      </w:r>
    </w:p>
    <w:p w14:paraId="35F1597D" w14:textId="37F34FC8" w:rsidR="00B9323A" w:rsidRDefault="00F14EE7" w:rsidP="00F14EE7">
      <w:pPr>
        <w:spacing w:before="120"/>
        <w:ind w:firstLine="720"/>
        <w:jc w:val="both"/>
      </w:pPr>
      <w:r w:rsidRPr="00F14EE7">
        <w:t xml:space="preserve">Giảm huyết áp cao giúp ngăn ngừa nguy cơ đột quỵ, đau </w:t>
      </w:r>
      <w:proofErr w:type="gramStart"/>
      <w:r w:rsidRPr="00F14EE7">
        <w:t>tim</w:t>
      </w:r>
      <w:proofErr w:type="gramEnd"/>
      <w:r w:rsidRPr="00F14EE7">
        <w:t xml:space="preserve"> và các vấn đề về thận</w:t>
      </w:r>
      <w:r w:rsidR="00944BD1" w:rsidRPr="00326C85">
        <w:t xml:space="preserve">. </w:t>
      </w:r>
    </w:p>
    <w:p w14:paraId="46BC0B7D" w14:textId="77777777" w:rsidR="00F14EE7" w:rsidRDefault="00F14EE7" w:rsidP="00F14EE7">
      <w:pPr>
        <w:shd w:val="clear" w:color="auto" w:fill="FFFFFF"/>
        <w:spacing w:before="120"/>
        <w:ind w:firstLine="720"/>
        <w:jc w:val="both"/>
      </w:pPr>
      <w:r w:rsidRPr="00F14EE7">
        <w:t xml:space="preserve">Điều trị bệnh suy </w:t>
      </w:r>
      <w:proofErr w:type="gramStart"/>
      <w:r w:rsidRPr="00F14EE7">
        <w:t>tim</w:t>
      </w:r>
      <w:proofErr w:type="gramEnd"/>
      <w:r w:rsidRPr="00F14EE7">
        <w:t>, đồng thời cải thiện cơ hội sống sót sau cơn đau tim.</w:t>
      </w:r>
    </w:p>
    <w:p w14:paraId="170AE808" w14:textId="77777777" w:rsidR="00F14EE7" w:rsidRPr="00F14EE7" w:rsidRDefault="00F14EE7" w:rsidP="00F14EE7">
      <w:pPr>
        <w:pStyle w:val="NormalWeb"/>
        <w:spacing w:before="120" w:beforeAutospacing="0" w:after="0" w:afterAutospacing="0"/>
        <w:ind w:firstLine="720"/>
        <w:jc w:val="both"/>
        <w:rPr>
          <w:sz w:val="26"/>
          <w:szCs w:val="26"/>
        </w:rPr>
      </w:pPr>
      <w:proofErr w:type="gramStart"/>
      <w:r w:rsidRPr="00F14EE7">
        <w:rPr>
          <w:sz w:val="26"/>
          <w:szCs w:val="26"/>
        </w:rPr>
        <w:t>Phù mạch là tác dụng không mong muốn nghiêm trọng của thuốc ức chế men chuyển angiotensin (ACEI) có thể dẫn đến tử vong ở bệnh nhân.</w:t>
      </w:r>
      <w:proofErr w:type="gramEnd"/>
      <w:r w:rsidRPr="00F14EE7">
        <w:rPr>
          <w:sz w:val="26"/>
          <w:szCs w:val="26"/>
        </w:rPr>
        <w:t xml:space="preserve"> </w:t>
      </w:r>
      <w:proofErr w:type="gramStart"/>
      <w:r w:rsidRPr="00F14EE7">
        <w:rPr>
          <w:sz w:val="26"/>
          <w:szCs w:val="26"/>
        </w:rPr>
        <w:t>Phản ứng này có thể xảy ra bất kỳ thời điểm nào trong quá trình điều trị.</w:t>
      </w:r>
      <w:proofErr w:type="gramEnd"/>
    </w:p>
    <w:p w14:paraId="18744A1C" w14:textId="77777777" w:rsidR="00F14EE7" w:rsidRPr="00F14EE7" w:rsidRDefault="00F14EE7" w:rsidP="00F14EE7">
      <w:pPr>
        <w:pStyle w:val="NormalWeb"/>
        <w:spacing w:before="120" w:beforeAutospacing="0" w:after="0" w:afterAutospacing="0"/>
        <w:ind w:firstLine="720"/>
        <w:jc w:val="both"/>
        <w:rPr>
          <w:sz w:val="26"/>
          <w:szCs w:val="26"/>
        </w:rPr>
      </w:pPr>
      <w:r w:rsidRPr="00F14EE7">
        <w:rPr>
          <w:sz w:val="26"/>
          <w:szCs w:val="26"/>
        </w:rPr>
        <w:t>Trước khi chỉ định thuốc ức chế men chuyển cho bệnh nhân, cần khai thác kỹ bệnh nhân có tiền sử sử dụng thuốc trước đó chưa và có ghi nhận phản ứng bất lợi nào không, đặc biệt với biểu hiện sưng, phù.</w:t>
      </w:r>
    </w:p>
    <w:p w14:paraId="404BC76C" w14:textId="77777777" w:rsidR="00F14EE7" w:rsidRPr="00F14EE7" w:rsidRDefault="00F14EE7" w:rsidP="00F14EE7">
      <w:pPr>
        <w:pStyle w:val="NormalWeb"/>
        <w:spacing w:before="120" w:beforeAutospacing="0" w:after="0" w:afterAutospacing="0"/>
        <w:ind w:firstLine="720"/>
        <w:jc w:val="both"/>
        <w:rPr>
          <w:sz w:val="26"/>
          <w:szCs w:val="26"/>
        </w:rPr>
      </w:pPr>
      <w:r w:rsidRPr="00F14EE7">
        <w:rPr>
          <w:sz w:val="26"/>
          <w:szCs w:val="26"/>
        </w:rPr>
        <w:t>Không chỉ định lại bất kỳ thuốc ACEI nào ở bệnh nhân có tiền sử phù mạch do thuốc ACEI.</w:t>
      </w:r>
    </w:p>
    <w:p w14:paraId="2BC09E8A" w14:textId="01096096" w:rsidR="00F14EE7" w:rsidRPr="00F14EE7" w:rsidRDefault="00F14EE7" w:rsidP="00F14EE7">
      <w:pPr>
        <w:pStyle w:val="NormalWeb"/>
        <w:spacing w:before="120" w:beforeAutospacing="0" w:after="0" w:afterAutospacing="0"/>
        <w:ind w:firstLine="720"/>
        <w:jc w:val="both"/>
        <w:rPr>
          <w:sz w:val="26"/>
          <w:szCs w:val="26"/>
        </w:rPr>
      </w:pPr>
      <w:r w:rsidRPr="00F14EE7">
        <w:rPr>
          <w:sz w:val="26"/>
          <w:szCs w:val="26"/>
        </w:rPr>
        <w:t>Trung tâm theo dõi phản ứng có hại New Zealand (CARM) đã nhận được một báo cáo về phản ứng phù mạch gây tử vong do thuốc ức chế men chuyển ACEI. Trước đây bệnh nhân đã ghi nhận có biểu hiện sưng phù lưỡi nhẹ khi sử dụng một loại thuốc ACEI. Tuy nhiên sau đó bệnh nhân đã được kê một loại thuốc ACEI khác và kết quả cuối cùng bệnh nhân bị phù mạch và tử vong</w:t>
      </w:r>
    </w:p>
    <w:p w14:paraId="178EE13D" w14:textId="77777777" w:rsidR="00F14EE7" w:rsidRPr="00F14EE7" w:rsidRDefault="00F14EE7" w:rsidP="00F14EE7">
      <w:pPr>
        <w:pStyle w:val="NormalWeb"/>
        <w:spacing w:before="120" w:beforeAutospacing="0" w:after="0" w:afterAutospacing="0"/>
        <w:ind w:firstLine="720"/>
        <w:jc w:val="both"/>
        <w:rPr>
          <w:sz w:val="26"/>
          <w:szCs w:val="26"/>
        </w:rPr>
      </w:pPr>
      <w:proofErr w:type="gramStart"/>
      <w:r w:rsidRPr="00F14EE7">
        <w:rPr>
          <w:sz w:val="26"/>
          <w:szCs w:val="26"/>
        </w:rPr>
        <w:t>Medsafe đã đưa ra cảnh báo các nhân viên y tế cần thận trọng về nguy cơ này và nhấn mạnh tầm quan trọng của việc khai thác kỹ tiền sử phản ứng có hại và dị ứng thuốc của bệnh nhân trước khi chỉ định bất kể loại thuốc nào.</w:t>
      </w:r>
      <w:proofErr w:type="gramEnd"/>
    </w:p>
    <w:p w14:paraId="09C2E8F8" w14:textId="08E7172C" w:rsidR="00F14EE7" w:rsidRPr="00F14EE7" w:rsidRDefault="00F14EE7" w:rsidP="00F14EE7">
      <w:pPr>
        <w:pStyle w:val="NormalWeb"/>
        <w:spacing w:before="120" w:beforeAutospacing="0" w:after="0" w:afterAutospacing="0"/>
        <w:jc w:val="both"/>
        <w:rPr>
          <w:b/>
          <w:sz w:val="26"/>
          <w:szCs w:val="26"/>
        </w:rPr>
      </w:pPr>
      <w:r w:rsidRPr="00F14EE7">
        <w:rPr>
          <w:sz w:val="26"/>
          <w:szCs w:val="26"/>
        </w:rPr>
        <w:t> </w:t>
      </w:r>
      <w:r>
        <w:rPr>
          <w:sz w:val="26"/>
          <w:szCs w:val="26"/>
        </w:rPr>
        <w:tab/>
      </w:r>
      <w:r w:rsidRPr="00F14EE7">
        <w:rPr>
          <w:b/>
          <w:sz w:val="26"/>
          <w:szCs w:val="26"/>
        </w:rPr>
        <w:t>Thuốc ức chế men chuyển ACEI</w:t>
      </w:r>
    </w:p>
    <w:p w14:paraId="157026FF" w14:textId="77777777" w:rsidR="00F14EE7" w:rsidRPr="00F14EE7" w:rsidRDefault="00F14EE7" w:rsidP="00F14EE7">
      <w:pPr>
        <w:pStyle w:val="NormalWeb"/>
        <w:spacing w:before="120" w:beforeAutospacing="0" w:after="0" w:afterAutospacing="0"/>
        <w:ind w:firstLine="720"/>
        <w:jc w:val="both"/>
        <w:rPr>
          <w:sz w:val="26"/>
          <w:szCs w:val="26"/>
        </w:rPr>
      </w:pPr>
      <w:r w:rsidRPr="00F14EE7">
        <w:rPr>
          <w:sz w:val="26"/>
          <w:szCs w:val="26"/>
        </w:rPr>
        <w:t xml:space="preserve">- Thuốc ức chế men chuyển là thuốc có tác dụng ức chế quá trình chuyển hóa angiotensin I thành angiotensin II, được chỉ định điều trị trong các trường hợp như tăng huyết áp, nhồi máu cơ </w:t>
      </w:r>
      <w:proofErr w:type="gramStart"/>
      <w:r w:rsidRPr="00F14EE7">
        <w:rPr>
          <w:sz w:val="26"/>
          <w:szCs w:val="26"/>
        </w:rPr>
        <w:t>tim</w:t>
      </w:r>
      <w:proofErr w:type="gramEnd"/>
      <w:r w:rsidRPr="00F14EE7">
        <w:rPr>
          <w:sz w:val="26"/>
          <w:szCs w:val="26"/>
        </w:rPr>
        <w:t>, suy tim và bệnh thận do đái tháo đường.</w:t>
      </w:r>
    </w:p>
    <w:p w14:paraId="0A94C142" w14:textId="77777777" w:rsidR="00F14EE7" w:rsidRPr="00F14EE7" w:rsidRDefault="00F14EE7" w:rsidP="00F14EE7">
      <w:pPr>
        <w:pStyle w:val="NormalWeb"/>
        <w:spacing w:before="120" w:beforeAutospacing="0" w:after="0" w:afterAutospacing="0"/>
        <w:ind w:firstLine="720"/>
        <w:jc w:val="both"/>
        <w:rPr>
          <w:sz w:val="26"/>
          <w:szCs w:val="26"/>
        </w:rPr>
      </w:pPr>
      <w:r w:rsidRPr="00F14EE7">
        <w:rPr>
          <w:sz w:val="26"/>
          <w:szCs w:val="26"/>
        </w:rPr>
        <w:t>- Các thuốc nhóm này được cấp phép sử dụng tại New Zealand bao gồm: captopril, cilazapil, enalapril, lisinopril, perindopril, quinapril và ramipril.</w:t>
      </w:r>
    </w:p>
    <w:p w14:paraId="6CB7FB4D" w14:textId="0FE2B7B9" w:rsidR="00F14EE7" w:rsidRPr="00F14EE7" w:rsidRDefault="00F14EE7" w:rsidP="00F14EE7">
      <w:pPr>
        <w:pStyle w:val="NormalWeb"/>
        <w:spacing w:before="120" w:beforeAutospacing="0" w:after="0" w:afterAutospacing="0"/>
        <w:jc w:val="both"/>
        <w:rPr>
          <w:b/>
          <w:sz w:val="26"/>
          <w:szCs w:val="26"/>
        </w:rPr>
      </w:pPr>
      <w:r w:rsidRPr="00F14EE7">
        <w:rPr>
          <w:sz w:val="26"/>
          <w:szCs w:val="26"/>
        </w:rPr>
        <w:lastRenderedPageBreak/>
        <w:t> </w:t>
      </w:r>
      <w:r>
        <w:rPr>
          <w:sz w:val="26"/>
          <w:szCs w:val="26"/>
        </w:rPr>
        <w:tab/>
      </w:r>
      <w:r w:rsidRPr="00F14EE7">
        <w:rPr>
          <w:b/>
          <w:sz w:val="26"/>
          <w:szCs w:val="26"/>
        </w:rPr>
        <w:t>Phản ứng phù mạch do thuốc ức chế men chuyển ACEI</w:t>
      </w:r>
    </w:p>
    <w:p w14:paraId="6930B4E7"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xml:space="preserve">- Phù mạch là hiện tượng sưng nề cục bộ ở da/niêm mạc mà không có biểu hiện ngứa/mày đay. Các phản ứng phù thường gặp do thuốc ức chế men chuyển bao gồm phù mặt, môi hoặc lưỡi. </w:t>
      </w:r>
      <w:proofErr w:type="gramStart"/>
      <w:r w:rsidRPr="00F14EE7">
        <w:rPr>
          <w:sz w:val="26"/>
          <w:szCs w:val="26"/>
        </w:rPr>
        <w:t>Các phản ứng phù gây ngạt đường thở có thể dẫn đến tử vong hiếm khi xảy ra.</w:t>
      </w:r>
      <w:proofErr w:type="gramEnd"/>
      <w:r w:rsidRPr="00F14EE7">
        <w:rPr>
          <w:sz w:val="26"/>
          <w:szCs w:val="26"/>
        </w:rPr>
        <w:t xml:space="preserve"> </w:t>
      </w:r>
      <w:proofErr w:type="gramStart"/>
      <w:r w:rsidRPr="00F14EE7">
        <w:rPr>
          <w:sz w:val="26"/>
          <w:szCs w:val="26"/>
        </w:rPr>
        <w:t>Bên cạnh đó phản ứng phù liên quan đến các tạng dẫn đến triệu chứng ở tiêu hóa cũng được ghi nhận.</w:t>
      </w:r>
      <w:proofErr w:type="gramEnd"/>
    </w:p>
    <w:p w14:paraId="0C98EC8B"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Phù mạch xảy ra ở khoảng 0</w:t>
      </w:r>
      <w:proofErr w:type="gramStart"/>
      <w:r w:rsidRPr="00F14EE7">
        <w:rPr>
          <w:sz w:val="26"/>
          <w:szCs w:val="26"/>
        </w:rPr>
        <w:t>,1</w:t>
      </w:r>
      <w:proofErr w:type="gramEnd"/>
      <w:r w:rsidRPr="00F14EE7">
        <w:rPr>
          <w:sz w:val="26"/>
          <w:szCs w:val="26"/>
        </w:rPr>
        <w:t xml:space="preserve">% đến 0,7% bệnh nhân sử dụng thuốc ức chế men chuyển ACEI. </w:t>
      </w:r>
      <w:proofErr w:type="gramStart"/>
      <w:r w:rsidRPr="00F14EE7">
        <w:rPr>
          <w:sz w:val="26"/>
          <w:szCs w:val="26"/>
        </w:rPr>
        <w:t>Phản ứng thường khởi phát trong những tuần hoặc tháng đầu tiên sau khi sử dụng thuốc, và cũng có thể xảy ra sau nhiều năm sử dụng.</w:t>
      </w:r>
      <w:proofErr w:type="gramEnd"/>
      <w:r w:rsidRPr="00F14EE7">
        <w:rPr>
          <w:sz w:val="26"/>
          <w:szCs w:val="26"/>
        </w:rPr>
        <w:t xml:space="preserve"> Phản ứng này cũng được ghi nhân với cả các thuốc ức chế thụ thể angiotensin II (ARB: </w:t>
      </w:r>
      <w:proofErr w:type="gramStart"/>
      <w:r w:rsidRPr="00F14EE7">
        <w:rPr>
          <w:sz w:val="26"/>
          <w:szCs w:val="26"/>
        </w:rPr>
        <w:t>vd</w:t>
      </w:r>
      <w:proofErr w:type="gramEnd"/>
      <w:r w:rsidRPr="00F14EE7">
        <w:rPr>
          <w:sz w:val="26"/>
          <w:szCs w:val="26"/>
        </w:rPr>
        <w:t xml:space="preserve"> candesartan, losartan), tuy nhiên nguy cơ thấp hơn so với thuốc ức chế men chuyển.</w:t>
      </w:r>
    </w:p>
    <w:p w14:paraId="5171F9B4" w14:textId="291A0475" w:rsidR="00F14EE7" w:rsidRPr="00AC3E98" w:rsidRDefault="00F14EE7" w:rsidP="00F14EE7">
      <w:pPr>
        <w:pStyle w:val="NormalWeb"/>
        <w:spacing w:before="120" w:beforeAutospacing="0" w:after="0" w:afterAutospacing="0"/>
        <w:jc w:val="both"/>
        <w:rPr>
          <w:b/>
          <w:sz w:val="26"/>
          <w:szCs w:val="26"/>
        </w:rPr>
      </w:pPr>
      <w:r w:rsidRPr="00F14EE7">
        <w:rPr>
          <w:sz w:val="26"/>
          <w:szCs w:val="26"/>
        </w:rPr>
        <w:t> </w:t>
      </w:r>
      <w:r w:rsidR="00AC3E98">
        <w:rPr>
          <w:sz w:val="26"/>
          <w:szCs w:val="26"/>
        </w:rPr>
        <w:tab/>
      </w:r>
      <w:r w:rsidRPr="00AC3E98">
        <w:rPr>
          <w:b/>
          <w:sz w:val="26"/>
          <w:szCs w:val="26"/>
        </w:rPr>
        <w:t>Quản lý và phòng ngừa nguy cơ</w:t>
      </w:r>
    </w:p>
    <w:p w14:paraId="1C8543D0"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Trường hợp bệnh nhân dùng thuốc ức chế men chuyển có dấu hiệu phù mạch, xem xét thuốc ức chế men chuyển có thể chính là nguyên nhân và nên ngừng thuốc.</w:t>
      </w:r>
    </w:p>
    <w:p w14:paraId="3F8738BC"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xml:space="preserve">- Khi bệnh nhân có biểu hiện lâm sàng liên quan đến phù mạch do ACEI cần </w:t>
      </w:r>
      <w:proofErr w:type="gramStart"/>
      <w:r w:rsidRPr="00F14EE7">
        <w:rPr>
          <w:sz w:val="26"/>
          <w:szCs w:val="26"/>
        </w:rPr>
        <w:t>theo</w:t>
      </w:r>
      <w:proofErr w:type="gramEnd"/>
      <w:r w:rsidRPr="00F14EE7">
        <w:rPr>
          <w:sz w:val="26"/>
          <w:szCs w:val="26"/>
        </w:rPr>
        <w:t xml:space="preserve"> dõi và chăm sóc, hỗ trợ đường thở nếu có phù miệng, cổ họng cho bệnh nhân. </w:t>
      </w:r>
      <w:proofErr w:type="gramStart"/>
      <w:r w:rsidRPr="00F14EE7">
        <w:rPr>
          <w:sz w:val="26"/>
          <w:szCs w:val="26"/>
        </w:rPr>
        <w:t>Bệnh nhân có thể gặp phản ứng lặp lại nhiều lần ngay cả khi đã ngừng thuốc.</w:t>
      </w:r>
      <w:proofErr w:type="gramEnd"/>
      <w:r w:rsidRPr="00F14EE7">
        <w:rPr>
          <w:sz w:val="26"/>
          <w:szCs w:val="26"/>
        </w:rPr>
        <w:t xml:space="preserve"> </w:t>
      </w:r>
      <w:proofErr w:type="gramStart"/>
      <w:r w:rsidRPr="00F14EE7">
        <w:rPr>
          <w:sz w:val="26"/>
          <w:szCs w:val="26"/>
        </w:rPr>
        <w:t>Tư vấn cho bệnh nhân cần liên hệ với bác sĩ/nhân viên y tế ngay lập tức nếu các triệu chứng tái phát.</w:t>
      </w:r>
      <w:proofErr w:type="gramEnd"/>
    </w:p>
    <w:p w14:paraId="41986AA6"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xml:space="preserve">- Nếu tiếp tục sử dụng ACEI sau khi bệnh nhân đã gặp phản ứng phù mạch lần đầu có thể dẫn đến các biểu hiện nghiêm trọng hơn và đe dọa tính mạng. Do đó chống chỉ định sử dụng thuốc này ở những bệnh nhân có tiền sử phù mạch trước đó do thuốc. Nếu có chỉ định lâm sàng, cân nhắc liệu pháp thay thế phù hợp </w:t>
      </w:r>
      <w:proofErr w:type="gramStart"/>
      <w:r w:rsidRPr="00F14EE7">
        <w:rPr>
          <w:sz w:val="26"/>
          <w:szCs w:val="26"/>
        </w:rPr>
        <w:t>theo</w:t>
      </w:r>
      <w:proofErr w:type="gramEnd"/>
      <w:r w:rsidRPr="00F14EE7">
        <w:rPr>
          <w:sz w:val="26"/>
          <w:szCs w:val="26"/>
        </w:rPr>
        <w:t xml:space="preserve"> hướng dẫn điều trị tại đơn vị.</w:t>
      </w:r>
    </w:p>
    <w:p w14:paraId="2F026119" w14:textId="6AB8262D" w:rsidR="00F14EE7" w:rsidRPr="00AC3E98" w:rsidRDefault="00F14EE7" w:rsidP="00F14EE7">
      <w:pPr>
        <w:pStyle w:val="NormalWeb"/>
        <w:spacing w:before="120" w:beforeAutospacing="0" w:after="0" w:afterAutospacing="0"/>
        <w:jc w:val="both"/>
        <w:rPr>
          <w:b/>
          <w:sz w:val="26"/>
          <w:szCs w:val="26"/>
        </w:rPr>
      </w:pPr>
      <w:r w:rsidRPr="00F14EE7">
        <w:rPr>
          <w:sz w:val="26"/>
          <w:szCs w:val="26"/>
        </w:rPr>
        <w:t> </w:t>
      </w:r>
      <w:r w:rsidR="00AC3E98">
        <w:rPr>
          <w:sz w:val="26"/>
          <w:szCs w:val="26"/>
        </w:rPr>
        <w:tab/>
      </w:r>
      <w:r w:rsidRPr="00AC3E98">
        <w:rPr>
          <w:b/>
          <w:sz w:val="26"/>
          <w:szCs w:val="26"/>
        </w:rPr>
        <w:t>Lời khuyên cho nhân viên y tế</w:t>
      </w:r>
    </w:p>
    <w:p w14:paraId="0953BC26"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Trước khi chỉ định thuốc ức chế men chuyển cho bệnh nhân, cần khai thác kỹ tiền sử sử dụng các loại thuốc trước đây và những phản ứng bất lợi đã từng gặp, đặc biệt về các biểu hiện sưng, phù.</w:t>
      </w:r>
    </w:p>
    <w:p w14:paraId="6C65BCE4"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Tư vấn cho những bệnh nhân bắt đầu sử dụng thuốc ACEI về các biểu hiện phù mạch và lưu ý với họ nên liên hệ với bác sĩ/ nhân viên y tế ngay lập tức nếu xảy ra các triệu chứng này</w:t>
      </w:r>
    </w:p>
    <w:p w14:paraId="160C74C9" w14:textId="77777777" w:rsidR="00F14EE7" w:rsidRPr="00F14EE7" w:rsidRDefault="00F14EE7" w:rsidP="00AC3E98">
      <w:pPr>
        <w:pStyle w:val="NormalWeb"/>
        <w:spacing w:before="120" w:beforeAutospacing="0" w:after="0" w:afterAutospacing="0"/>
        <w:ind w:firstLine="720"/>
        <w:jc w:val="both"/>
        <w:rPr>
          <w:sz w:val="26"/>
          <w:szCs w:val="26"/>
        </w:rPr>
      </w:pPr>
      <w:r w:rsidRPr="00F14EE7">
        <w:rPr>
          <w:sz w:val="26"/>
          <w:szCs w:val="26"/>
        </w:rPr>
        <w:t>- Không nên chỉ định thuốc ACEI cho những bệnh nhân đã từng gặp phản ứng phù mạch do thuốc. Đặc biệt lưu ý với bệnh nhân đã từng có tiền sử phù mạch do ACEI nên tránh sử dụng lặp lại các thuốc nhóm này trong tương lai.</w:t>
      </w:r>
    </w:p>
    <w:p w14:paraId="5B3C11B7" w14:textId="43622A95" w:rsidR="00001DD0" w:rsidRDefault="00B9323A" w:rsidP="00F14EE7">
      <w:pPr>
        <w:spacing w:before="120"/>
        <w:ind w:firstLine="720"/>
        <w:jc w:val="both"/>
      </w:pPr>
      <w:r>
        <w:t>T</w:t>
      </w:r>
      <w:r w:rsidR="00D46E6B" w:rsidRPr="00326C85">
        <w:t xml:space="preserve">ại TTY Tế huyện Châu Thành </w:t>
      </w:r>
      <w:r w:rsidR="00001DD0">
        <w:t xml:space="preserve">có sử dụng thuốc </w:t>
      </w:r>
      <w:r w:rsidR="00AC3E98">
        <w:t>ACEI</w:t>
      </w:r>
      <w:r w:rsidR="00001DD0">
        <w:t>: (</w:t>
      </w:r>
      <w:r w:rsidR="00AC3E98" w:rsidRPr="00F14EE7">
        <w:t>captopril, enal</w:t>
      </w:r>
      <w:r w:rsidR="00AC3E98">
        <w:t>april, lisinopril, perindopril, imidapril</w:t>
      </w:r>
      <w:r w:rsidR="00AC3E98" w:rsidRPr="00F14EE7">
        <w:t xml:space="preserve"> và ramipril</w:t>
      </w:r>
      <w:r w:rsidR="00001DD0">
        <w:t>)</w:t>
      </w:r>
      <w:r w:rsidR="001230AB" w:rsidRPr="00326C85">
        <w:t>.</w:t>
      </w:r>
    </w:p>
    <w:p w14:paraId="5AF642CB" w14:textId="77777777" w:rsidR="00001DD0" w:rsidRDefault="002C1552" w:rsidP="00F14EE7">
      <w:pPr>
        <w:spacing w:before="120"/>
        <w:ind w:firstLine="720"/>
        <w:jc w:val="both"/>
      </w:pPr>
      <w:r w:rsidRPr="00326C85">
        <w:t>Thực hiện chỉ đạo của Lãnh đạo Trung tâm Y tế, Đơn vị Thông tin thuốc triển khai thông tin này để bác sĩ, các khoa lâm sàng</w:t>
      </w:r>
      <w:r w:rsidR="00EE2062" w:rsidRPr="00326C85">
        <w:t>, phòng khám Đa khoa khu vực (PK</w:t>
      </w:r>
      <w:r w:rsidRPr="00326C85">
        <w:t xml:space="preserve">ĐKKV), các Trạm Y tế tuyến xã biết </w:t>
      </w:r>
      <w:r w:rsidR="00477F3C" w:rsidRPr="00326C85">
        <w:t xml:space="preserve">và theo dõi </w:t>
      </w:r>
      <w:r w:rsidRPr="00326C85">
        <w:t>thực hiện.</w:t>
      </w:r>
    </w:p>
    <w:p w14:paraId="2014244C" w14:textId="346D504C" w:rsidR="002C1552" w:rsidRPr="00326C85" w:rsidRDefault="002C1552" w:rsidP="00001DD0">
      <w:pPr>
        <w:spacing w:before="120"/>
        <w:ind w:firstLine="720"/>
        <w:jc w:val="both"/>
      </w:pPr>
      <w:r w:rsidRPr="00326C85">
        <w:t>Trân trọng</w:t>
      </w:r>
      <w:proofErr w:type="gramStart"/>
      <w:r w:rsidRPr="00326C85">
        <w:t>./</w:t>
      </w:r>
      <w:proofErr w:type="gramEnd"/>
      <w:r w:rsidRPr="00326C85">
        <w:t>.</w:t>
      </w:r>
    </w:p>
    <w:p w14:paraId="3FC1422A" w14:textId="77777777" w:rsidR="00944BD1" w:rsidRPr="00D10374" w:rsidRDefault="00944BD1" w:rsidP="002C1552">
      <w:pPr>
        <w:spacing w:before="120"/>
        <w:ind w:firstLine="720"/>
        <w:jc w:val="both"/>
      </w:pPr>
    </w:p>
    <w:p w14:paraId="741414D4" w14:textId="5C2621BA" w:rsidR="002C1552" w:rsidRPr="00112237" w:rsidRDefault="002C1552" w:rsidP="002C1552">
      <w:pPr>
        <w:rPr>
          <w:b/>
        </w:rPr>
      </w:pPr>
      <w:r w:rsidRPr="00112237">
        <w:rPr>
          <w:b/>
        </w:rPr>
        <w:tab/>
        <w:t>DUYỆT NỘI DUNG THÔNG TIN</w:t>
      </w:r>
      <w:r w:rsidRPr="00112237">
        <w:rPr>
          <w:b/>
        </w:rPr>
        <w:tab/>
      </w:r>
      <w:r w:rsidRPr="00112237">
        <w:rPr>
          <w:b/>
        </w:rPr>
        <w:tab/>
        <w:t>TỔNG HỢP THÔNG TIN</w:t>
      </w:r>
    </w:p>
    <w:p w14:paraId="41700579" w14:textId="77777777" w:rsidR="002C1552" w:rsidRPr="00A6481F" w:rsidRDefault="00A6481F" w:rsidP="00A6481F">
      <w:pPr>
        <w:ind w:left="720" w:firstLine="720"/>
        <w:rPr>
          <w:b/>
        </w:rPr>
      </w:pPr>
      <w:r>
        <w:rPr>
          <w:b/>
        </w:rPr>
        <w:t xml:space="preserve">   </w:t>
      </w:r>
      <w:r w:rsidRPr="00A6481F">
        <w:rPr>
          <w:b/>
        </w:rPr>
        <w:t xml:space="preserve">TRƯỞNG KHOA </w:t>
      </w:r>
    </w:p>
    <w:p w14:paraId="018EC190" w14:textId="77777777" w:rsidR="002C1552" w:rsidRDefault="002C1552" w:rsidP="002C1552"/>
    <w:p w14:paraId="5CA4532E" w14:textId="77777777" w:rsidR="002C1552" w:rsidRDefault="002C1552" w:rsidP="002C1552"/>
    <w:p w14:paraId="2717E973" w14:textId="77777777" w:rsidR="002D4D61" w:rsidRDefault="002D4D61" w:rsidP="002C1552"/>
    <w:p w14:paraId="5B63A8A2" w14:textId="77777777" w:rsidR="00A6481F" w:rsidRDefault="00A6481F" w:rsidP="002C1552"/>
    <w:p w14:paraId="1949301C" w14:textId="77777777" w:rsidR="002C1552" w:rsidRDefault="002C1552" w:rsidP="002C1552"/>
    <w:p w14:paraId="27C7732C" w14:textId="78760732" w:rsidR="002C1552" w:rsidRDefault="002D4D61" w:rsidP="002C1552">
      <w:r>
        <w:rPr>
          <w:b/>
        </w:rPr>
        <w:t xml:space="preserve">                </w:t>
      </w:r>
      <w:r w:rsidR="00A6481F">
        <w:rPr>
          <w:b/>
        </w:rPr>
        <w:t xml:space="preserve">        </w:t>
      </w:r>
      <w:r w:rsidRPr="00112237">
        <w:rPr>
          <w:b/>
        </w:rPr>
        <w:t xml:space="preserve"> </w:t>
      </w:r>
      <w:r w:rsidR="00A6481F">
        <w:rPr>
          <w:b/>
        </w:rPr>
        <w:t xml:space="preserve"> </w:t>
      </w:r>
      <w:r w:rsidRPr="00112237">
        <w:rPr>
          <w:b/>
        </w:rPr>
        <w:t xml:space="preserve">Nguyễn Hoài </w:t>
      </w:r>
      <w:proofErr w:type="gramStart"/>
      <w:r w:rsidRPr="00112237">
        <w:rPr>
          <w:b/>
        </w:rPr>
        <w:t>An</w:t>
      </w:r>
      <w:proofErr w:type="gramEnd"/>
      <w:r w:rsidRPr="00112237">
        <w:rPr>
          <w:b/>
        </w:rPr>
        <w:tab/>
      </w:r>
      <w:r w:rsidRPr="00112237">
        <w:rPr>
          <w:b/>
        </w:rPr>
        <w:tab/>
      </w:r>
      <w:r w:rsidRPr="00112237">
        <w:rPr>
          <w:b/>
        </w:rPr>
        <w:tab/>
      </w:r>
      <w:r w:rsidRPr="00112237">
        <w:rPr>
          <w:b/>
        </w:rPr>
        <w:tab/>
      </w:r>
      <w:r>
        <w:rPr>
          <w:b/>
        </w:rPr>
        <w:t xml:space="preserve">      </w:t>
      </w:r>
      <w:r w:rsidR="00AC3E98">
        <w:rPr>
          <w:b/>
        </w:rPr>
        <w:t xml:space="preserve">  </w:t>
      </w:r>
      <w:r>
        <w:rPr>
          <w:b/>
        </w:rPr>
        <w:t>Thạch Văn Beo</w:t>
      </w:r>
    </w:p>
    <w:p w14:paraId="299A2006" w14:textId="77777777" w:rsidR="002C1552" w:rsidRPr="00112237" w:rsidRDefault="006565E3" w:rsidP="002C1552">
      <w:pPr>
        <w:rPr>
          <w:b/>
        </w:rPr>
      </w:pPr>
      <w:r>
        <w:rPr>
          <w:b/>
          <w:noProof/>
        </w:rPr>
        <mc:AlternateContent>
          <mc:Choice Requires="wps">
            <w:drawing>
              <wp:anchor distT="0" distB="0" distL="114300" distR="114300" simplePos="0" relativeHeight="251661312" behindDoc="0" locked="0" layoutInCell="1" allowOverlap="1" wp14:anchorId="259F3AC4" wp14:editId="689E29D9">
                <wp:simplePos x="0" y="0"/>
                <wp:positionH relativeFrom="column">
                  <wp:posOffset>-207645</wp:posOffset>
                </wp:positionH>
                <wp:positionV relativeFrom="paragraph">
                  <wp:posOffset>49530</wp:posOffset>
                </wp:positionV>
                <wp:extent cx="990600" cy="619125"/>
                <wp:effectExtent l="0" t="0" r="0" b="0"/>
                <wp:wrapNone/>
                <wp:docPr id="8" name="Rectangle 8"/>
                <wp:cNvGraphicFramePr/>
                <a:graphic xmlns:a="http://schemas.openxmlformats.org/drawingml/2006/main">
                  <a:graphicData uri="http://schemas.microsoft.com/office/word/2010/wordprocessingShape">
                    <wps:wsp>
                      <wps:cNvSpPr/>
                      <wps:spPr>
                        <a:xfrm>
                          <a:off x="0" y="0"/>
                          <a:ext cx="9906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6.35pt;margin-top:3.9pt;width:7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URhgIAAGQFAAAOAAAAZHJzL2Uyb0RvYy54bWysVMFu2zAMvQ/YPwi6r7aDtmuMOEWQosOA&#10;oi3aDj0rshQbkERNUmJnXz9KdtyuLXYYloNDieQj+URycdlrRfbC+RZMRYuTnBJhONSt2Vb0x9P1&#10;lwtKfGCmZgqMqOhBeHq5/Pxp0dlSzKABVQtHEMT4srMVbUKwZZZ53gjN/AlYYVApwWkW8Oi2We1Y&#10;h+haZbM8P886cLV1wIX3eHs1KOky4UspeLiT0otAVEUxt5C+Ln038ZstF6zcOmablo9psH/IQrPW&#10;YNAJ6ooFRnaufQelW+7AgwwnHHQGUrZcpBqwmiJ/U81jw6xItSA53k40+f8Hy2/39460dUXxoQzT&#10;+EQPSBozWyXIRaSns75Eq0d778aTRzHW2kun4z9WQfpE6WGiVPSBcLycz/PzHInnqDov5sXsLGJm&#10;L87W+fBNgCZRqKjD4IlItr/xYTA9msRYBq5bpfCelcr8cYGY8SaL+Q4ZJikclBisH4TEQjGnWQqQ&#10;WkyslSN7hs3BOBcmFIOqYbUYrs9y/I0pTx6pAGUQMCJLTGjCHgFi+77HHsoZ7aOrSB06Oed/S2xw&#10;njxSZDBhctatAfcRgMKqxsiD/ZGkgZrIUug3PZpEcQP1ATvCwTAq3vLrFl/mhvlwzxzOBj4mznu4&#10;w49U0FUURomSBtyvj+6jPbYsainpcNYq6n/umBOUqO8Gm3lenJ7G4UyH07OvMzy415rNa43Z6TXg&#10;ixW4WSxPYrQP6ihKB/oZ18IqRkUVMxxjVzQcxXUYNgCuFS5Wq2SE42hZuDGPlkfoSG/su6f+mTk7&#10;NmfArr6F41Sy8k2PDrbR08BqF0C2qYFfWB2Jx1FOHTSunbgrXp+T1ctyXP4GAAD//wMAUEsDBBQA&#10;BgAIAAAAIQAT2dii3gAAAAkBAAAPAAAAZHJzL2Rvd25yZXYueG1sTI/BasMwEETvhf6D2EBviRyb&#10;NsW1HEoh0FJySOLcN9ZGNrFWxlJi9++rnNrbDjPMvinWk+3EjQbfOlawXCQgiGunWzYKqsNm/grC&#10;B2SNnWNS8EMe1uXjQ4G5diPv6LYPRsQS9jkqaELocyl93ZBFv3A9cfTObrAYohyM1AOOsdx2Mk2S&#10;F2mx5fihwZ4+Gqov+6tVcB43aVZtK3PE1nxuzff0tTzslHqaTe9vIAJN4S8Md/yIDmVkOrkray86&#10;BfMsXcWoglVccPfTLANxikfynIEsC/l/QfkLAAD//wMAUEsBAi0AFAAGAAgAAAAhALaDOJL+AAAA&#10;4QEAABMAAAAAAAAAAAAAAAAAAAAAAFtDb250ZW50X1R5cGVzXS54bWxQSwECLQAUAAYACAAAACEA&#10;OP0h/9YAAACUAQAACwAAAAAAAAAAAAAAAAAvAQAAX3JlbHMvLnJlbHNQSwECLQAUAAYACAAAACEA&#10;5cjVEYYCAABkBQAADgAAAAAAAAAAAAAAAAAuAgAAZHJzL2Uyb0RvYy54bWxQSwECLQAUAAYACAAA&#10;ACEAE9nYot4AAAAJAQAADwAAAAAAAAAAAAAAAADgBAAAZHJzL2Rvd25yZXYueG1sUEsFBgAAAAAE&#10;AAQA8wAAAOsFAAAAAA==&#10;" filled="f" stroked="f" strokeweight="2pt">
                <v:textbo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v:textbox>
              </v:rect>
            </w:pict>
          </mc:Fallback>
        </mc:AlternateContent>
      </w:r>
      <w:r w:rsidR="002C1552">
        <w:rPr>
          <w:b/>
        </w:rPr>
        <w:tab/>
        <w:t xml:space="preserve">       </w:t>
      </w:r>
      <w:r w:rsidR="002C1552" w:rsidRPr="00112237">
        <w:rPr>
          <w:b/>
        </w:rPr>
        <w:tab/>
      </w:r>
      <w:r w:rsidR="002C1552" w:rsidRPr="00112237">
        <w:rPr>
          <w:b/>
        </w:rPr>
        <w:tab/>
      </w:r>
      <w:r w:rsidR="002C1552" w:rsidRPr="00112237">
        <w:rPr>
          <w:b/>
        </w:rPr>
        <w:tab/>
      </w:r>
      <w:r w:rsidR="002C1552" w:rsidRPr="00112237">
        <w:rPr>
          <w:b/>
        </w:rPr>
        <w:tab/>
      </w:r>
      <w:r w:rsidR="002C1552">
        <w:rPr>
          <w:b/>
        </w:rPr>
        <w:t xml:space="preserve">      </w:t>
      </w:r>
    </w:p>
    <w:p w14:paraId="18CB5322" w14:textId="77777777" w:rsidR="006565E3" w:rsidRDefault="006565E3" w:rsidP="006565E3">
      <w:pPr>
        <w:jc w:val="right"/>
        <w:rPr>
          <w:rFonts w:ascii="Arial" w:hAnsi="Arial" w:cs="Arial"/>
          <w:color w:val="414141"/>
          <w:sz w:val="18"/>
          <w:szCs w:val="18"/>
        </w:rPr>
      </w:pPr>
    </w:p>
    <w:p w14:paraId="4B4107BB" w14:textId="77777777" w:rsidR="006565E3" w:rsidRDefault="006565E3" w:rsidP="006565E3">
      <w:pPr>
        <w:jc w:val="right"/>
        <w:rPr>
          <w:rFonts w:ascii="Arial" w:hAnsi="Arial" w:cs="Arial"/>
          <w:color w:val="414141"/>
          <w:sz w:val="18"/>
          <w:szCs w:val="18"/>
        </w:rPr>
      </w:pPr>
    </w:p>
    <w:p w14:paraId="5E0320D2" w14:textId="77777777" w:rsidR="006565E3" w:rsidRDefault="006565E3" w:rsidP="006565E3">
      <w:pPr>
        <w:jc w:val="right"/>
        <w:rPr>
          <w:rFonts w:ascii="Arial" w:hAnsi="Arial" w:cs="Arial"/>
          <w:color w:val="414141"/>
          <w:sz w:val="18"/>
          <w:szCs w:val="18"/>
        </w:rPr>
      </w:pPr>
    </w:p>
    <w:p w14:paraId="6C46226D" w14:textId="77777777" w:rsidR="00AC3E98" w:rsidRPr="00AC3E98" w:rsidRDefault="00AC3E98" w:rsidP="00AC3E98">
      <w:pPr>
        <w:pStyle w:val="NormalWeb"/>
        <w:spacing w:before="0" w:beforeAutospacing="0" w:after="0" w:afterAutospacing="0"/>
        <w:jc w:val="right"/>
        <w:rPr>
          <w:i/>
          <w:color w:val="414141"/>
          <w:sz w:val="22"/>
          <w:szCs w:val="22"/>
        </w:rPr>
      </w:pPr>
      <w:r w:rsidRPr="00AC3E98">
        <w:rPr>
          <w:i/>
          <w:color w:val="414141"/>
          <w:sz w:val="22"/>
          <w:szCs w:val="22"/>
        </w:rPr>
        <w:t>Nguồn: </w:t>
      </w:r>
      <w:hyperlink r:id="rId9" w:history="1">
        <w:r w:rsidRPr="00AC3E98">
          <w:rPr>
            <w:rStyle w:val="Hyperlink"/>
            <w:i/>
            <w:sz w:val="22"/>
            <w:szCs w:val="22"/>
            <w:u w:val="none"/>
            <w:bdr w:val="none" w:sz="0" w:space="0" w:color="auto" w:frame="1"/>
          </w:rPr>
          <w:t>https://www.medsafe.govt.nz/profs/PUArticles/June2023/Reminder-ACE-inhibitor-induced-angioedema-can-be-fatal.html</w:t>
        </w:r>
      </w:hyperlink>
    </w:p>
    <w:p w14:paraId="784A4D3D" w14:textId="77777777" w:rsidR="00AC3E98" w:rsidRPr="00001DD0" w:rsidRDefault="00AC3E98" w:rsidP="00AC3E98">
      <w:pPr>
        <w:jc w:val="right"/>
        <w:rPr>
          <w:i/>
          <w:sz w:val="24"/>
          <w:szCs w:val="24"/>
        </w:rPr>
      </w:pPr>
      <w:r w:rsidRPr="00AC3E98">
        <w:rPr>
          <w:i/>
          <w:color w:val="414141"/>
          <w:sz w:val="22"/>
          <w:szCs w:val="22"/>
        </w:rPr>
        <w:t>Trang cảnh giác dược</w:t>
      </w:r>
    </w:p>
    <w:p w14:paraId="12EBB9F9" w14:textId="77777777" w:rsidR="00AC3E98" w:rsidRPr="00AC3E98" w:rsidRDefault="00AC3E98" w:rsidP="00AC3E98">
      <w:pPr>
        <w:pStyle w:val="NormalWeb"/>
        <w:spacing w:before="0" w:beforeAutospacing="0" w:after="0" w:afterAutospacing="0"/>
        <w:jc w:val="right"/>
        <w:rPr>
          <w:i/>
          <w:color w:val="414141"/>
          <w:sz w:val="22"/>
          <w:szCs w:val="22"/>
        </w:rPr>
      </w:pPr>
    </w:p>
    <w:p w14:paraId="3D48FA58" w14:textId="75F62D71" w:rsidR="0073401C" w:rsidRPr="005E3EDA" w:rsidRDefault="0073401C" w:rsidP="00AC3E98">
      <w:pPr>
        <w:jc w:val="right"/>
        <w:rPr>
          <w:i/>
          <w:sz w:val="18"/>
          <w:szCs w:val="18"/>
        </w:rPr>
      </w:pPr>
    </w:p>
    <w:sectPr w:rsidR="0073401C" w:rsidRPr="005E3EDA" w:rsidSect="00AC3E98">
      <w:footerReference w:type="default" r:id="rId10"/>
      <w:pgSz w:w="11909" w:h="16834"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39173" w14:textId="77777777" w:rsidR="00CA45C5" w:rsidRDefault="00CA45C5">
      <w:r>
        <w:separator/>
      </w:r>
    </w:p>
  </w:endnote>
  <w:endnote w:type="continuationSeparator" w:id="0">
    <w:p w14:paraId="74DB0261" w14:textId="77777777" w:rsidR="00CA45C5" w:rsidRDefault="00CA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725880"/>
      <w:docPartObj>
        <w:docPartGallery w:val="Page Numbers (Bottom of Page)"/>
        <w:docPartUnique/>
      </w:docPartObj>
    </w:sdtPr>
    <w:sdtEndPr>
      <w:rPr>
        <w:noProof/>
      </w:rPr>
    </w:sdtEndPr>
    <w:sdtContent>
      <w:p w14:paraId="436E8FCC" w14:textId="77777777" w:rsidR="005E3EDA" w:rsidRDefault="00193120">
        <w:pPr>
          <w:pStyle w:val="Footer"/>
          <w:jc w:val="center"/>
          <w:rPr>
            <w:noProof/>
          </w:rPr>
        </w:pPr>
        <w:r>
          <w:fldChar w:fldCharType="begin"/>
        </w:r>
        <w:r>
          <w:instrText xml:space="preserve"> PAGE   \* MERGEFORMAT </w:instrText>
        </w:r>
        <w:r>
          <w:fldChar w:fldCharType="separate"/>
        </w:r>
        <w:r w:rsidR="00AC3E98">
          <w:rPr>
            <w:noProof/>
          </w:rPr>
          <w:t>2</w:t>
        </w:r>
        <w:r>
          <w:rPr>
            <w:noProof/>
          </w:rPr>
          <w:fldChar w:fldCharType="end"/>
        </w:r>
        <w:r w:rsidR="005E3EDA">
          <w:rPr>
            <w:noProof/>
          </w:rPr>
          <w:t xml:space="preserve"> </w:t>
        </w:r>
      </w:p>
      <w:p w14:paraId="03E27E3A" w14:textId="1692DE1B" w:rsidR="00193120" w:rsidRDefault="005E3EDA">
        <w:pPr>
          <w:pStyle w:val="Footer"/>
          <w:jc w:val="center"/>
        </w:pPr>
        <w:r>
          <w:rPr>
            <w:noProof/>
          </w:rPr>
          <w:t xml:space="preserve">                                                              </w:t>
        </w:r>
        <w:r w:rsidR="001B119A">
          <w:rPr>
            <w:noProof/>
          </w:rPr>
          <w:t xml:space="preserve">                 </w:t>
        </w:r>
        <w:r w:rsidRPr="005E3EDA">
          <w:rPr>
            <w:i/>
            <w:noProof/>
            <w:sz w:val="22"/>
            <w:szCs w:val="22"/>
          </w:rPr>
          <w:t>TT khuyến cáo của cơ quan quản lí</w:t>
        </w:r>
        <w:r w:rsidR="002B67A7">
          <w:rPr>
            <w:i/>
            <w:noProof/>
            <w:sz w:val="22"/>
            <w:szCs w:val="22"/>
          </w:rPr>
          <w:t>. 2024</w:t>
        </w:r>
      </w:p>
    </w:sdtContent>
  </w:sdt>
  <w:p w14:paraId="23111E09" w14:textId="77777777" w:rsidR="002D224B" w:rsidRDefault="002D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FEBD" w14:textId="77777777" w:rsidR="00CA45C5" w:rsidRDefault="00CA45C5">
      <w:r>
        <w:separator/>
      </w:r>
    </w:p>
  </w:footnote>
  <w:footnote w:type="continuationSeparator" w:id="0">
    <w:p w14:paraId="718E1B7C" w14:textId="77777777" w:rsidR="00CA45C5" w:rsidRDefault="00CA4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7729"/>
    <w:multiLevelType w:val="hybridMultilevel"/>
    <w:tmpl w:val="4B8247A4"/>
    <w:lvl w:ilvl="0" w:tplc="3EC0A04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3051B"/>
    <w:multiLevelType w:val="multilevel"/>
    <w:tmpl w:val="3D8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21A93"/>
    <w:multiLevelType w:val="multilevel"/>
    <w:tmpl w:val="4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5167E"/>
    <w:multiLevelType w:val="multilevel"/>
    <w:tmpl w:val="12C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A6C37"/>
    <w:multiLevelType w:val="multilevel"/>
    <w:tmpl w:val="72F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44EC2"/>
    <w:multiLevelType w:val="multilevel"/>
    <w:tmpl w:val="464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27"/>
    <w:rsid w:val="00001DD0"/>
    <w:rsid w:val="000242FC"/>
    <w:rsid w:val="00053D83"/>
    <w:rsid w:val="0006707B"/>
    <w:rsid w:val="001121D4"/>
    <w:rsid w:val="001230AB"/>
    <w:rsid w:val="001264C1"/>
    <w:rsid w:val="001830AB"/>
    <w:rsid w:val="00185325"/>
    <w:rsid w:val="00193120"/>
    <w:rsid w:val="00195DF4"/>
    <w:rsid w:val="001B119A"/>
    <w:rsid w:val="001F5397"/>
    <w:rsid w:val="00204055"/>
    <w:rsid w:val="002B67A7"/>
    <w:rsid w:val="002C1552"/>
    <w:rsid w:val="002C5398"/>
    <w:rsid w:val="002D224B"/>
    <w:rsid w:val="002D4D61"/>
    <w:rsid w:val="00326C85"/>
    <w:rsid w:val="003670EE"/>
    <w:rsid w:val="00401A3C"/>
    <w:rsid w:val="0045405C"/>
    <w:rsid w:val="0047090C"/>
    <w:rsid w:val="00477F3C"/>
    <w:rsid w:val="00504399"/>
    <w:rsid w:val="005D1EE5"/>
    <w:rsid w:val="005E3EDA"/>
    <w:rsid w:val="005E7081"/>
    <w:rsid w:val="00635867"/>
    <w:rsid w:val="006565E3"/>
    <w:rsid w:val="00677D52"/>
    <w:rsid w:val="006E33F8"/>
    <w:rsid w:val="007215B8"/>
    <w:rsid w:val="0073401C"/>
    <w:rsid w:val="007564E8"/>
    <w:rsid w:val="007A6211"/>
    <w:rsid w:val="007C3E06"/>
    <w:rsid w:val="007F0D73"/>
    <w:rsid w:val="008077FF"/>
    <w:rsid w:val="0081045E"/>
    <w:rsid w:val="00841EE9"/>
    <w:rsid w:val="00874A16"/>
    <w:rsid w:val="008E112F"/>
    <w:rsid w:val="008E3DF0"/>
    <w:rsid w:val="008F44FE"/>
    <w:rsid w:val="009337DE"/>
    <w:rsid w:val="00944BD1"/>
    <w:rsid w:val="009C2956"/>
    <w:rsid w:val="009D2176"/>
    <w:rsid w:val="00A53059"/>
    <w:rsid w:val="00A6481F"/>
    <w:rsid w:val="00AC3E98"/>
    <w:rsid w:val="00B162D1"/>
    <w:rsid w:val="00B9323A"/>
    <w:rsid w:val="00BA3B53"/>
    <w:rsid w:val="00C3040E"/>
    <w:rsid w:val="00CA07A3"/>
    <w:rsid w:val="00CA45C5"/>
    <w:rsid w:val="00D10374"/>
    <w:rsid w:val="00D46E6B"/>
    <w:rsid w:val="00DC7749"/>
    <w:rsid w:val="00E23027"/>
    <w:rsid w:val="00E43AE5"/>
    <w:rsid w:val="00EB1723"/>
    <w:rsid w:val="00EE2062"/>
    <w:rsid w:val="00F12BFE"/>
    <w:rsid w:val="00F14EE7"/>
    <w:rsid w:val="00FE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996">
      <w:bodyDiv w:val="1"/>
      <w:marLeft w:val="0"/>
      <w:marRight w:val="0"/>
      <w:marTop w:val="0"/>
      <w:marBottom w:val="0"/>
      <w:divBdr>
        <w:top w:val="none" w:sz="0" w:space="0" w:color="auto"/>
        <w:left w:val="none" w:sz="0" w:space="0" w:color="auto"/>
        <w:bottom w:val="none" w:sz="0" w:space="0" w:color="auto"/>
        <w:right w:val="none" w:sz="0" w:space="0" w:color="auto"/>
      </w:divBdr>
    </w:div>
    <w:div w:id="1401978778">
      <w:bodyDiv w:val="1"/>
      <w:marLeft w:val="0"/>
      <w:marRight w:val="0"/>
      <w:marTop w:val="0"/>
      <w:marBottom w:val="0"/>
      <w:divBdr>
        <w:top w:val="none" w:sz="0" w:space="0" w:color="auto"/>
        <w:left w:val="none" w:sz="0" w:space="0" w:color="auto"/>
        <w:bottom w:val="none" w:sz="0" w:space="0" w:color="auto"/>
        <w:right w:val="none" w:sz="0" w:space="0" w:color="auto"/>
      </w:divBdr>
      <w:divsChild>
        <w:div w:id="791754988">
          <w:marLeft w:val="0"/>
          <w:marRight w:val="0"/>
          <w:marTop w:val="0"/>
          <w:marBottom w:val="0"/>
          <w:divBdr>
            <w:top w:val="none" w:sz="0" w:space="0" w:color="auto"/>
            <w:left w:val="none" w:sz="0" w:space="0" w:color="auto"/>
            <w:bottom w:val="none" w:sz="0" w:space="0" w:color="auto"/>
            <w:right w:val="none" w:sz="0" w:space="0" w:color="auto"/>
          </w:divBdr>
        </w:div>
      </w:divsChild>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937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edsafe.govt.nz/profs/PUArticles/June2023/Reminder-ACE-inhibitor-induced-angioedema-can-be-fat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B767-FBF4-4018-80F6-67BE7E3F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2023-08-29T08:43:00Z</cp:lastPrinted>
  <dcterms:created xsi:type="dcterms:W3CDTF">2019-04-26T04:19:00Z</dcterms:created>
  <dcterms:modified xsi:type="dcterms:W3CDTF">2024-05-29T08:07:00Z</dcterms:modified>
</cp:coreProperties>
</file>